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500"/>
      </w:tblGrid>
      <w:tr w:rsidR="00A967E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967E5" w:rsidRDefault="006348F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A967E5" w:rsidRDefault="006348F5">
            <w:pPr>
              <w:spacing w:after="0" w:line="240" w:lineRule="auto"/>
            </w:pPr>
            <w:r>
              <w:t>21115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967E5" w:rsidRDefault="006348F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A967E5" w:rsidRDefault="006348F5">
            <w:pPr>
              <w:spacing w:after="0" w:line="240" w:lineRule="auto"/>
            </w:pPr>
            <w:r>
              <w:t>O.Š. MAČE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A967E5" w:rsidRDefault="006348F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A967E5" w:rsidRDefault="006348F5">
            <w:pPr>
              <w:spacing w:after="0" w:line="240" w:lineRule="auto"/>
            </w:pPr>
            <w:r>
              <w:t>31</w:t>
            </w:r>
          </w:p>
        </w:tc>
      </w:tr>
    </w:tbl>
    <w:p w:rsidR="00A967E5" w:rsidRDefault="006348F5">
      <w:r>
        <w:br/>
      </w:r>
    </w:p>
    <w:p w:rsidR="00A967E5" w:rsidRDefault="006348F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A967E5" w:rsidRDefault="006348F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A967E5" w:rsidRDefault="006348F5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583.785,03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638.259,73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581.151,15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771.142,79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132.883,06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10.052,73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5.634,36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56,0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OD </w:t>
            </w:r>
            <w:r>
              <w:rPr>
                <w:b/>
                <w:sz w:val="18"/>
              </w:rPr>
              <w:t>NEFINANCIJSKE IMOVINE (šifre 4-7)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10.052,73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5.634,36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56,0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VIŠAK/MANJAK </w:t>
            </w:r>
            <w:r>
              <w:rPr>
                <w:b/>
                <w:sz w:val="18"/>
              </w:rPr>
              <w:t>PRIMITAKA OD FINANCIJSKE IMOVINE I ZADUŽIVANJA (šifre 8-5, 5-8)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7.418,85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138.517,42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1867,1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razdoblju od 01.01.2025. do 30.06.2025. godine ostvareni su ukupni prihodi poslovanja </w:t>
      </w:r>
      <w:r>
        <w:t xml:space="preserve">od 638.259,73 EUR te ukupni rashodi poslovanja od 771.142,79 EUR. Ukupni rashodi za nabavu nefinancijske imovine iznose 5.634,36 EUR.  Ukupni prihodi poslovanja veći su za cca 91,45% u odnosu na ostvarene prihode u izvještajnom razdoblju prethodne godine, </w:t>
      </w:r>
      <w:r>
        <w:t>a rashodi poslovanja veći su za cca 76,11 % u odnosu na izvještajno razdoblje prethodne godine. Ukupan manjak prihoda ostvaren u izvještajnom razdoblju tekuće godine iznosi 138.517,42 EUR. Višak prihoda - preneseni iz 2024. god. iznosi 62.383,84 EUR. Manja</w:t>
      </w:r>
      <w:r>
        <w:t>k prihoda i primitaka za pokriće u sljedećem razdoblju iznosi 76.133,58 EUR. Osnovna škola Mače od rujna 2023. godine  sudjeluje u projektu ,,Osnovna škola kao cjelodnevna škola,, u trajanju od četiri godine.</w:t>
      </w:r>
    </w:p>
    <w:p w:rsidR="00A967E5" w:rsidRDefault="006348F5">
      <w:r>
        <w:br/>
      </w:r>
    </w:p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536.007,82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594.155,82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U tekućoj godini povećanje ukupnih  prihoda od strane Ministarstva znanosti, obrazovanja i mladih zbog uključenosti Škole u projekt cjelodnevne škole i nabave potrebnih udžbenika za učenika koji je došao u drugom polugodištu u našu školu.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</w:t>
            </w:r>
            <w:r>
              <w:rPr>
                <w:b/>
                <w:sz w:val="18"/>
              </w:rPr>
              <w:t xml:space="preserve">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</w:t>
      </w:r>
      <w:r>
        <w:t>tekućoj godini nema ostvarenja u odnosu na prethodnu godinu. Radi se o prihodu jedinice lokalne samouprave Općine Mače koji u tekućoj godini nije realiziran.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527.507,82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594.036,91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112,6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odnosu na prethodnu godinu u tekućoj godini povećani su prihodi od strane </w:t>
      </w:r>
      <w:r>
        <w:t>Ministarstva znanosti, obrazovanja i mladih zbog uključenosti Osnovne škole Mače u projekt cjelodnevne škole od rujna 2023. god.  Povećanje se odnosi na prihod za plaću  i dodataka na  plaću, prihod za izvannastavne i izvanškolske aktivnosti u koje su uklj</w:t>
      </w:r>
      <w:r>
        <w:t xml:space="preserve">učenu učenici naše škole (B1 i B2), prihod za </w:t>
      </w:r>
      <w:proofErr w:type="spellStart"/>
      <w:r>
        <w:t>psihodijagnostička</w:t>
      </w:r>
      <w:proofErr w:type="spellEnd"/>
      <w:r>
        <w:t xml:space="preserve"> sredstva, prihod za prehranu učenika ( 2 obroka dnevno) i dr.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118,91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U tekućoj godini u razdoblju od siječnja do lipnja  ostvareni je prihod od Ministarstva znanosti, obrazovanja i mladih</w:t>
      </w:r>
      <w:r>
        <w:t xml:space="preserve"> za nabavu udžbenika zbog dolaska jednog učenika iz druge škole. U prethodnoj godini nema ostvarenja.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4.731,43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1.306,96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27,6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Smanjenje prihoda od zakupa i iznajmljivanja imovine u tekućoj godini u odnosu na prethodnu godinu iz razloga što se u tekućoj godini prihodi od iznajmljivanja </w:t>
      </w:r>
      <w:r>
        <w:t>knjigovodstveno evidentiraju na kontu  6615.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315,00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U tekućoj godini iskazani je prihod od prodaje proizvoda učeničke zadruge ,,</w:t>
      </w:r>
      <w:proofErr w:type="spellStart"/>
      <w:r>
        <w:t>Hiža</w:t>
      </w:r>
      <w:proofErr w:type="spellEnd"/>
      <w:r>
        <w:t>,,. U prethodnoj godini nema ostvarenja iz razloga što se prihod do ove godine vodio na kontu 64222 Prihodi od zakupa i iznajmljivanja imovine.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4.635,04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tekućoj godini povećanje u odnosu na prethodnu </w:t>
      </w:r>
      <w:r>
        <w:t>godinu gdje nema ostvarenja. Razlog je u tome  što se iznajmljivanje imovine do ove godine knjigovodstveno evidentiralo na kontu 64222 Prihodi od zakupa i iznajmljivanja imovine, a sada na kontu 6615.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898,48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u tekućoj godini  zbog primljene donacije opreme i sitnog inventara od strane fizičke </w:t>
      </w:r>
      <w:r>
        <w:t>osobe.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rashoda za nabavu nefinancijske </w:t>
            </w:r>
            <w:r>
              <w:rPr>
                <w:sz w:val="18"/>
              </w:rPr>
              <w:t>imovine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prethodnoj godini ostvareni je prihod iz nadležnog proračuna za nabavu </w:t>
      </w:r>
      <w:proofErr w:type="spellStart"/>
      <w:r>
        <w:t>nefinanc</w:t>
      </w:r>
      <w:proofErr w:type="spellEnd"/>
      <w:r>
        <w:t>. imovine , u tekućoj godini nema ostvarenja.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434.650,07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617.344,04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rashoda za zaposlene u tekućoj godini odnosi se na plaće, doprinose na plaću te ostale rashode za </w:t>
      </w:r>
      <w:r>
        <w:t>zaposlene. Osim  djelatnika koji primaju plaću preko MZOM, u Školi je zaposlena jedna djelatnica kao pomoćnik u nastavi putem projekta Baltazar i jedna djelatnica - pripravnik putem Mjere prvog radnog iskustva pripravništva.  Djelatnici uz redoviti rad pri</w:t>
      </w:r>
      <w:r>
        <w:t>maju i dodatke na plaću zbog projekta cjelodnevne škole.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4.232,33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8.167,34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plaća za prekovremeni rad u tekućoj godini odnosi se na zamjene djelatnika zbog privremene spriječenosti za rad-bolovanje, zbog zamjene djelatnika na službenom putovanju / </w:t>
      </w:r>
      <w:proofErr w:type="spellStart"/>
      <w:r>
        <w:t>izvanučioničkoj</w:t>
      </w:r>
      <w:proofErr w:type="spellEnd"/>
      <w:r>
        <w:t xml:space="preserve"> nastavi ili zamjena </w:t>
      </w:r>
      <w:r>
        <w:t>djelatnika koji je službeno odsutan zbog natjecanja učenika.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Stručno usavršavanje </w:t>
            </w:r>
            <w:r>
              <w:rPr>
                <w:sz w:val="18"/>
              </w:rPr>
              <w:t>zaposlenika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U tekućoj godini iskazano povećanje zbog tečaja -higijenski minimum za kuharice, dok u prethodnoj godini nema ostvarenja.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3.404,94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8.445,84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248,0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u tekućoj godini u odnosu na prethodnu zbog nabave potrebnog uredskog materija, stručne </w:t>
      </w:r>
      <w:r>
        <w:t xml:space="preserve">literature i </w:t>
      </w:r>
      <w:proofErr w:type="spellStart"/>
      <w:r>
        <w:t>ostal</w:t>
      </w:r>
      <w:proofErr w:type="spellEnd"/>
      <w:r>
        <w:t xml:space="preserve">. mater. rashoda (mat. za čišćenje , </w:t>
      </w:r>
      <w:proofErr w:type="spellStart"/>
      <w:r>
        <w:t>higijen</w:t>
      </w:r>
      <w:proofErr w:type="spellEnd"/>
      <w:r>
        <w:t>. potrepštine). Također, nabava materijala i str. literature za potrebe izvannastavnih aktivnosti B1 vezanih uz cjelodnevnu školu.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31,72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prethodnoj godini iskazan je rashod za troškove službene-radne odjeće, u ovom </w:t>
      </w:r>
      <w:r>
        <w:t>razdoblju isti još nije ostvaren.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42.812,53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50.113,75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izdataka u tekućoj godini u odnosu na prethodnu godinu zbog troškova izvanškolskih aktivnosti B2, troškova  </w:t>
      </w:r>
      <w:proofErr w:type="spellStart"/>
      <w:r>
        <w:t>izvanučioničke</w:t>
      </w:r>
      <w:proofErr w:type="spellEnd"/>
      <w:r>
        <w:t xml:space="preserve"> nastave-izleti te usluge predavanja i radionice vezane za cjelodnevnu školu.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prethodnoj godini ostvareni troškovi osobi izvan radnog odnosa, </w:t>
      </w:r>
      <w:r>
        <w:t>odnosi se na troškove prijevoza osobi koja je u Školi održala predavanje putem Ugovora o autorskom djelu, u tekućoj godini nema ostvarenja.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3.027,98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5.017,27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165,7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u tekućoj godini u odnosu na prethodnu godinu odnosi se na rashode za ulaznice za obuku učenika neplivača, kazališna </w:t>
      </w:r>
      <w:r>
        <w:t xml:space="preserve">predstava za kraj šk. god., rashodi za </w:t>
      </w:r>
      <w:proofErr w:type="spellStart"/>
      <w:r>
        <w:t>izvanučioničku</w:t>
      </w:r>
      <w:proofErr w:type="spellEnd"/>
      <w:r>
        <w:t xml:space="preserve"> nastavu  i dr.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15,46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U prethodnoj godini iskazan rashodi za zatezne kamate-kašnjenje u plaćanju računa za plin, u tekućoj nema ostvarenja.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54,08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tekućoj godini iskazano povećanje u odnosu na prethodnu godinu zbog nabave drugog obrazovnog materijala- radne bilježnice za učenika koji </w:t>
      </w:r>
      <w:r>
        <w:t>je početkom godine došao iz druge škole.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10.052,73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3.425,80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34,1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tekućoj godini smanjenje ukupnih troškova nabave opreme. Nabavljena je oprema za ostale namjene. Uredska oprema, sportska i glazbena oprema nabavljena je u prethodnoj godini, dok u ovom izvještajnom razdoblju nije realizirana </w:t>
      </w:r>
      <w:r>
        <w:t>nabava istih.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2.208,56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tekućoj godini povećanje u odnosu na </w:t>
      </w:r>
      <w:r>
        <w:t>prethodnu godinu gdje nema ostvarenja. Odnosi se na nabavu knjiga za šk. knjižnicu iz prihoda Ministarstva znanosti, obrazovanja i mladih (šk. lektira, troškovi B1 izvannastavnih aktivnosti) te nabave udžbenika učeniku koji  u drugom obrazovnom razdoblju p</w:t>
      </w:r>
      <w:r>
        <w:t>ohađa našu školu.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583.785,03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638.259,73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</w:t>
      </w:r>
      <w:r>
        <w:t>sveukupnih prihoda u tekućoj godini u odnosu na prethodnu godinu ostvaren je najvećim dijelom prihodom MZOM zbog uključenosti naše Škole u projekt cjelodnevne Škole  od rujna 2023. godine. Samim time povećani je prihod za plaće zaposlenima, materijalni ras</w:t>
      </w:r>
      <w:r>
        <w:t xml:space="preserve">hodi i rashodi za nabavu </w:t>
      </w:r>
      <w:proofErr w:type="spellStart"/>
      <w:r>
        <w:t>nefinanc</w:t>
      </w:r>
      <w:proofErr w:type="spellEnd"/>
      <w:r>
        <w:t>. imovine vezani uz troškove izvannastavnih i izvanškolskih aktivnosti, prehrana  učenika - 2 obroka dnevno i dr.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(šifre Z005+4)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Y034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591.203,88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776.777,15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Povećanje rashoda u tekućoj godini u odnosu na prethodnu godinu zbog iskazivanja plaće za zaposlene, plaće za pomoćnika u nastavi, </w:t>
      </w:r>
      <w:r>
        <w:t>plaće pripravnika putem Mjera prvog radnog iskustva pripravništva, prijevoza na posao, Ugovora o djelu  i dr.  za mjesec lipanj 2025. god.  Knjigovodstveno evidentiranje navedenog dovodi do iskazivanjem manjka prihoda i primitaka.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I PRIMICI (šifre X067+8)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X678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583.785,03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638.259,73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Povećanje sveukupnih prihoda u tekućoj</w:t>
      </w:r>
      <w:r>
        <w:t xml:space="preserve"> godini u odnosu na prethodnu godinu ostvaren je najvećim dijelom prihodom MZOM zbog uključenosti naše Škole u projekt cjelodnevne Škole  od rujna 2023. godine. Samim time povećani je prihod za plaće zaposlenima, materijalni rashodi, rashodi za nabavu </w:t>
      </w:r>
      <w:proofErr w:type="spellStart"/>
      <w:r>
        <w:t>nefi</w:t>
      </w:r>
      <w:r>
        <w:t>nanc</w:t>
      </w:r>
      <w:proofErr w:type="spellEnd"/>
      <w:r>
        <w:t>. imovine  vezani uz troškove izvannastavnih i izvanškolskih aktivnosti, prehrana učenika - 2 obroka dnevno i dr.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I IZDACI (šifre Y034+5)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Y345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591.203,88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776.777,15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Povećanje rashoda u tekućoj godini u odnosu na prethodnu godinu zbog iskazivanja plaće za zaposlene, plaće za pomoćnika u nastavi, plaće pripravnika putem</w:t>
      </w:r>
      <w:r>
        <w:t xml:space="preserve"> Mjera prvog radnog iskustva pripravništva, prijevoza na posao, Ugovora o djelu  i dr.  za mjesec lipanj 2025. god.  Knjigovodstveno evidentiranje navedenog dovodi do iskazivanjem manjka prihoda i primitaka.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76.133,58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U </w:t>
      </w:r>
      <w:r>
        <w:t>izvještajnom razdoblju tekuće godine iskazani je manjak prihoda zbog knjigovodstvenog evidentiranja rashoda za zaposlene i materijalnih rashoda za mjesec lipanj 2025. koji će biti podmireni u srpnju 2025. god.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</w:t>
            </w:r>
            <w:r>
              <w:rPr>
                <w:b/>
                <w:sz w:val="18"/>
              </w:rPr>
              <w:t>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110.112,62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Stanje obveza na kraju izvještajnog razdoblja odnose se na obveze za zaposlene , materijalne rashode,</w:t>
      </w:r>
      <w:r>
        <w:t xml:space="preserve"> financijske rashode, rashode za nabavu nefinancijske imovine te obveze za bolovanja na teret HZZO. Iskazane su obveze za zaposlene - plaća i prijevoz na posao za mjesec lipanj 2025. god.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A967E5">
            <w:pPr>
              <w:keepNext/>
              <w:keepLines/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620,00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 xml:space="preserve">Stanje dospjelih obveza odnosi se na: - obveze za materijalne rashode (izdaci za službena putovanja koja se odnose na mjesec lipanj 2025. </w:t>
      </w:r>
      <w:r>
        <w:t>god u iznosu od 165,00 eura, podmireni su početkom mjeseca srpnja 2025. god.) - ostale nespomenute usluge-izvanškolske aktivnosti  B2 u iznosu 455,00 eura koja se odnose na mjesec svibanj 2025., a nisu podmirena do kraja lipnja 2025.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103.116,06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Obuhvaćaju obveze za zaposlene , obveze za materijalne rashode i obveze za financijske rashode.</w:t>
      </w:r>
    </w:p>
    <w:p w:rsidR="00A967E5" w:rsidRDefault="00A967E5"/>
    <w:p w:rsidR="00A967E5" w:rsidRDefault="006348F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700"/>
      </w:tblGrid>
      <w:tr w:rsidR="00A967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0" w:type="auto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967E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3.916,56</w:t>
            </w:r>
          </w:p>
        </w:tc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:rsidR="00A967E5" w:rsidRDefault="006348F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A967E5" w:rsidRDefault="00A967E5">
      <w:pPr>
        <w:spacing w:after="0"/>
      </w:pPr>
    </w:p>
    <w:p w:rsidR="00A967E5" w:rsidRDefault="006348F5">
      <w:pPr>
        <w:spacing w:line="240" w:lineRule="auto"/>
        <w:jc w:val="both"/>
      </w:pPr>
      <w:r>
        <w:t>Iskazane obveze za bolovanje na teret HZZO.</w:t>
      </w:r>
    </w:p>
    <w:p w:rsidR="00A967E5" w:rsidRDefault="00A967E5"/>
    <w:sectPr w:rsidR="00A9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E5"/>
    <w:rsid w:val="006348F5"/>
    <w:rsid w:val="00A9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3C626-EB43-49AB-AB0B-2AFCA593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2025-07-10T11:40:00Z</dcterms:created>
  <dcterms:modified xsi:type="dcterms:W3CDTF">2025-07-10T11:40:00Z</dcterms:modified>
</cp:coreProperties>
</file>